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7E1A" w14:textId="77777777" w:rsidR="00362B1A" w:rsidRDefault="00362B1A" w:rsidP="00362B1A">
      <w:pPr>
        <w:shd w:val="clear" w:color="auto" w:fill="FFFFFF"/>
        <w:spacing w:line="460" w:lineRule="atLeast"/>
        <w:jc w:val="center"/>
        <w:textAlignment w:val="top"/>
        <w:rPr>
          <w:rFonts w:ascii="Arial" w:hAnsi="Arial" w:cs="Arial"/>
          <w:color w:val="676767"/>
          <w:szCs w:val="21"/>
        </w:rPr>
      </w:pPr>
      <w:r>
        <w:rPr>
          <w:rFonts w:ascii="方正小标宋简体" w:eastAsia="方正小标宋简体" w:hAnsi="Times New Roman" w:cs="Times New Roman" w:hint="eastAsia"/>
          <w:b/>
          <w:bCs/>
          <w:color w:val="000000"/>
          <w:sz w:val="36"/>
          <w:szCs w:val="36"/>
        </w:rPr>
        <w:t>资产评估准则——工作底稿</w:t>
      </w:r>
    </w:p>
    <w:p w14:paraId="72E8807C" w14:textId="77777777" w:rsidR="00362B1A" w:rsidRDefault="00362B1A" w:rsidP="00362B1A">
      <w:pPr>
        <w:shd w:val="clear" w:color="auto" w:fill="FFFFFF"/>
        <w:spacing w:line="400" w:lineRule="atLeast"/>
        <w:ind w:firstLine="560"/>
        <w:jc w:val="center"/>
        <w:textAlignment w:val="top"/>
        <w:rPr>
          <w:rFonts w:ascii="Arial" w:hAnsi="Arial" w:cs="Arial"/>
          <w:color w:val="676767"/>
          <w:szCs w:val="21"/>
        </w:rPr>
      </w:pPr>
      <w:r>
        <w:rPr>
          <w:rFonts w:cs="Arial" w:hint="eastAsia"/>
          <w:color w:val="676767"/>
          <w:sz w:val="28"/>
          <w:szCs w:val="28"/>
        </w:rPr>
        <w:t> </w:t>
      </w:r>
    </w:p>
    <w:p w14:paraId="5C961B78" w14:textId="77777777" w:rsidR="00362B1A" w:rsidRDefault="00362B1A" w:rsidP="00362B1A">
      <w:pPr>
        <w:shd w:val="clear" w:color="auto" w:fill="FFFFFF"/>
        <w:spacing w:line="400" w:lineRule="atLeast"/>
        <w:ind w:firstLine="562"/>
        <w:jc w:val="center"/>
        <w:textAlignment w:val="top"/>
        <w:rPr>
          <w:rFonts w:ascii="Arial" w:hAnsi="Arial" w:cs="Arial"/>
          <w:color w:val="676767"/>
          <w:szCs w:val="21"/>
        </w:rPr>
      </w:pPr>
      <w:r>
        <w:rPr>
          <w:rFonts w:cs="Arial" w:hint="eastAsia"/>
          <w:b/>
          <w:bCs/>
          <w:color w:val="676767"/>
          <w:sz w:val="28"/>
          <w:szCs w:val="28"/>
        </w:rPr>
        <w:t>第一章  总 则</w:t>
      </w:r>
    </w:p>
    <w:p w14:paraId="05A89F57" w14:textId="77777777" w:rsidR="00362B1A" w:rsidRDefault="00362B1A" w:rsidP="00362B1A">
      <w:pPr>
        <w:shd w:val="clear" w:color="auto" w:fill="FFFFFF"/>
        <w:spacing w:line="460" w:lineRule="atLeast"/>
        <w:ind w:firstLine="560"/>
        <w:jc w:val="center"/>
        <w:textAlignment w:val="top"/>
        <w:rPr>
          <w:rFonts w:ascii="Arial" w:hAnsi="Arial" w:cs="Arial"/>
          <w:color w:val="676767"/>
          <w:szCs w:val="21"/>
        </w:rPr>
      </w:pPr>
      <w:r>
        <w:rPr>
          <w:rFonts w:cs="Arial" w:hint="eastAsia"/>
          <w:color w:val="676767"/>
          <w:sz w:val="28"/>
          <w:szCs w:val="28"/>
        </w:rPr>
        <w:t> </w:t>
      </w:r>
    </w:p>
    <w:p w14:paraId="30F590CB"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第一条  为规范工作底稿的编制和管理，维护社会公共利益和资产评估各方当事人的合法权益，根据《资产评估准则——基本准则》，制定本准则。</w:t>
      </w:r>
    </w:p>
    <w:p w14:paraId="57C07A76"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第二条  本准则所称工作底稿，是指注册资产评估师执行评估业务形成的，反映评估程序实施情况、支持评估结论的工作记录和相关资料。</w:t>
      </w:r>
    </w:p>
    <w:p w14:paraId="0E26DBFC"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第三条  注册资产评估师执行资产评估业务，应当遵守本准则。</w:t>
      </w:r>
    </w:p>
    <w:p w14:paraId="03D2013B"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第四条  注册资产评估师执行与价值估算相关的其他业务，编制、管理工作底稿，可以参照本准则。</w:t>
      </w:r>
    </w:p>
    <w:p w14:paraId="2A85EE21" w14:textId="77777777" w:rsidR="00362B1A" w:rsidRDefault="00362B1A" w:rsidP="00362B1A">
      <w:pPr>
        <w:shd w:val="clear" w:color="auto" w:fill="FFFFFF"/>
        <w:spacing w:line="460" w:lineRule="atLeast"/>
        <w:ind w:firstLine="560"/>
        <w:jc w:val="center"/>
        <w:textAlignment w:val="top"/>
        <w:rPr>
          <w:rFonts w:ascii="Arial" w:hAnsi="Arial" w:cs="Arial"/>
          <w:color w:val="676767"/>
          <w:szCs w:val="21"/>
        </w:rPr>
      </w:pPr>
      <w:r>
        <w:rPr>
          <w:rFonts w:cs="Arial" w:hint="eastAsia"/>
          <w:color w:val="676767"/>
          <w:sz w:val="28"/>
          <w:szCs w:val="28"/>
        </w:rPr>
        <w:t> </w:t>
      </w:r>
    </w:p>
    <w:p w14:paraId="6F0D3C94" w14:textId="77777777" w:rsidR="00362B1A" w:rsidRDefault="00362B1A" w:rsidP="00362B1A">
      <w:pPr>
        <w:shd w:val="clear" w:color="auto" w:fill="FFFFFF"/>
        <w:spacing w:line="460" w:lineRule="atLeast"/>
        <w:ind w:firstLine="562"/>
        <w:jc w:val="center"/>
        <w:textAlignment w:val="top"/>
        <w:rPr>
          <w:rFonts w:ascii="Arial" w:hAnsi="Arial" w:cs="Arial"/>
          <w:color w:val="676767"/>
          <w:szCs w:val="21"/>
        </w:rPr>
      </w:pPr>
      <w:r>
        <w:rPr>
          <w:rFonts w:cs="Arial" w:hint="eastAsia"/>
          <w:b/>
          <w:bCs/>
          <w:color w:val="676767"/>
          <w:sz w:val="28"/>
          <w:szCs w:val="28"/>
        </w:rPr>
        <w:t>第二章  基本要求</w:t>
      </w:r>
    </w:p>
    <w:p w14:paraId="69D9FCBD" w14:textId="77777777" w:rsidR="00362B1A" w:rsidRDefault="00362B1A" w:rsidP="00362B1A">
      <w:pPr>
        <w:shd w:val="clear" w:color="auto" w:fill="FFFFFF"/>
        <w:spacing w:line="460" w:lineRule="atLeast"/>
        <w:ind w:firstLine="560"/>
        <w:jc w:val="center"/>
        <w:textAlignment w:val="top"/>
        <w:rPr>
          <w:rFonts w:ascii="Arial" w:hAnsi="Arial" w:cs="Arial"/>
          <w:color w:val="676767"/>
          <w:szCs w:val="21"/>
        </w:rPr>
      </w:pPr>
      <w:r>
        <w:rPr>
          <w:rFonts w:cs="Arial" w:hint="eastAsia"/>
          <w:color w:val="676767"/>
          <w:sz w:val="28"/>
          <w:szCs w:val="28"/>
        </w:rPr>
        <w:t> </w:t>
      </w:r>
    </w:p>
    <w:p w14:paraId="6AC1CBFA"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第五条  注册资产评估师执行资产评估业务，应当遵守法律、法规和资产评估准则的相关规定，编制和管理工作底稿。</w:t>
      </w:r>
    </w:p>
    <w:p w14:paraId="27BB368D"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第六条  工作底稿应当反映评估程序实施情况，支持评估结论。</w:t>
      </w:r>
    </w:p>
    <w:p w14:paraId="542874F2"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第七条  工作底稿应当真实完整、重点突出、记录清晰、结论明确。注册资产评估师可以根据评估业务的具体情况，合理确定工作底稿的繁简程度。</w:t>
      </w:r>
    </w:p>
    <w:p w14:paraId="2F1B4AD2"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lastRenderedPageBreak/>
        <w:t>第八条  工作底稿可以是纸质文档、电子文档或者其它介质形式的文档，注册资产评估师可以根据评估业务具体情况合理选择工作底稿的形式。电子或者其它介质形式的重要工作底稿，如评估业务执行过程中的重大问题处理记录，对评估结论有重大影响的现场勘查记录、询价记录和评定估算过程记录等，应当同时形成纸质文档。</w:t>
      </w:r>
    </w:p>
    <w:p w14:paraId="45122B23"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 </w:t>
      </w:r>
    </w:p>
    <w:p w14:paraId="650DB72D" w14:textId="77777777" w:rsidR="00362B1A" w:rsidRDefault="00362B1A" w:rsidP="00362B1A">
      <w:pPr>
        <w:shd w:val="clear" w:color="auto" w:fill="FFFFFF"/>
        <w:spacing w:line="460" w:lineRule="atLeast"/>
        <w:jc w:val="center"/>
        <w:textAlignment w:val="top"/>
        <w:rPr>
          <w:rFonts w:ascii="Arial" w:hAnsi="Arial" w:cs="Arial"/>
          <w:color w:val="676767"/>
          <w:szCs w:val="21"/>
        </w:rPr>
      </w:pPr>
      <w:r>
        <w:rPr>
          <w:rFonts w:cs="Arial" w:hint="eastAsia"/>
          <w:b/>
          <w:bCs/>
          <w:color w:val="676767"/>
          <w:sz w:val="28"/>
          <w:szCs w:val="28"/>
        </w:rPr>
        <w:t>第三章   工作底稿的内容</w:t>
      </w:r>
    </w:p>
    <w:p w14:paraId="5A3934E7" w14:textId="77777777" w:rsidR="00362B1A" w:rsidRDefault="00362B1A" w:rsidP="00362B1A">
      <w:pPr>
        <w:shd w:val="clear" w:color="auto" w:fill="FFFFFF"/>
        <w:spacing w:line="460" w:lineRule="atLeast"/>
        <w:jc w:val="center"/>
        <w:textAlignment w:val="top"/>
        <w:rPr>
          <w:rFonts w:ascii="Arial" w:hAnsi="Arial" w:cs="Arial"/>
          <w:color w:val="676767"/>
          <w:szCs w:val="21"/>
        </w:rPr>
      </w:pPr>
      <w:r>
        <w:rPr>
          <w:rFonts w:cs="Arial" w:hint="eastAsia"/>
          <w:b/>
          <w:bCs/>
          <w:color w:val="676767"/>
          <w:sz w:val="28"/>
          <w:szCs w:val="28"/>
        </w:rPr>
        <w:t> </w:t>
      </w:r>
    </w:p>
    <w:p w14:paraId="5FAF6FE9"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第九条  工作底稿通常分为管理类工作底稿和操作类工作底稿。</w:t>
      </w:r>
    </w:p>
    <w:p w14:paraId="6865305C" w14:textId="77777777" w:rsidR="00362B1A" w:rsidRDefault="00362B1A" w:rsidP="00362B1A">
      <w:pPr>
        <w:pStyle w:val="31"/>
        <w:shd w:val="clear" w:color="auto" w:fill="FFFFFF"/>
        <w:spacing w:after="0" w:line="460" w:lineRule="atLeast"/>
        <w:ind w:firstLine="560"/>
        <w:textAlignment w:val="top"/>
        <w:rPr>
          <w:rFonts w:ascii="Arial" w:hAnsi="Arial" w:cs="Arial"/>
          <w:color w:val="676767"/>
          <w:sz w:val="21"/>
          <w:szCs w:val="21"/>
        </w:rPr>
      </w:pPr>
      <w:r>
        <w:rPr>
          <w:rFonts w:cs="Arial" w:hint="eastAsia"/>
          <w:color w:val="676767"/>
          <w:sz w:val="28"/>
          <w:szCs w:val="28"/>
        </w:rPr>
        <w:t>管理类工作底稿是指注册资产评估师在执行评估业务过程中，为承接、计划、控制和管理评估业务所形成的工作记录及相关资料。</w:t>
      </w:r>
    </w:p>
    <w:p w14:paraId="0CFD16C9"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操作类工作底稿是指注册资产评估师在履行现场调查、收集评估资料和评定估算程序时所形成的工作记录及相关资料。</w:t>
      </w:r>
    </w:p>
    <w:p w14:paraId="645FDCEE"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第十条  管理类工作底稿通常包括以下内容:</w:t>
      </w:r>
    </w:p>
    <w:p w14:paraId="4CAB9457"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（一）评估业务基本事项的记录；</w:t>
      </w:r>
    </w:p>
    <w:p w14:paraId="6D66AD70"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（二）业务约定书；</w:t>
      </w:r>
    </w:p>
    <w:p w14:paraId="171887BE"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（三）评估计划；</w:t>
      </w:r>
    </w:p>
    <w:p w14:paraId="231C46C9"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（四）评估业务执行过程中重大问题处理记录；</w:t>
      </w:r>
    </w:p>
    <w:p w14:paraId="0ED460CB"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（五）评估报告的审核记录。</w:t>
      </w:r>
    </w:p>
    <w:p w14:paraId="04920213"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第十一条  操作类工作底稿的内容因评估目的、评估对象和评估方法等不同而有所差异，通常包括以下内容：</w:t>
      </w:r>
    </w:p>
    <w:p w14:paraId="70663A76"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lastRenderedPageBreak/>
        <w:t>（一）现场调查记录与相关资料，包括：委托方提供的资产评估申报资料，现场勘查记录，函证记录，主要或者重要资产的权属证明材料，</w:t>
      </w:r>
      <w:r>
        <w:rPr>
          <w:rFonts w:cs="Arial" w:hint="eastAsia"/>
          <w:color w:val="000000"/>
          <w:sz w:val="28"/>
          <w:szCs w:val="28"/>
        </w:rPr>
        <w:t>与评估业务相关的财务、审计等资料，其他相关资料；</w:t>
      </w:r>
    </w:p>
    <w:p w14:paraId="1CDDBD7A"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（二）收集的评估资料，包括：市场调查及数据分析资料，相关的历史和预测资料，询价记录，其他专家鉴定及专业人士报告，委托方及相关当事方提供的说明、证明和承诺，其他相关资料；</w:t>
      </w:r>
    </w:p>
    <w:p w14:paraId="01BAA77F"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（三）评定估算过程记录，包括：重要参数的选取和形成过程记录，价值分析、计算、判断过程记录，评估结论形成过程记录，其他相关资料。</w:t>
      </w:r>
    </w:p>
    <w:p w14:paraId="70B8731F" w14:textId="77777777" w:rsidR="00362B1A" w:rsidRDefault="00362B1A" w:rsidP="00362B1A">
      <w:pPr>
        <w:shd w:val="clear" w:color="auto" w:fill="FFFFFF"/>
        <w:spacing w:line="460" w:lineRule="atLeast"/>
        <w:ind w:firstLine="560"/>
        <w:jc w:val="center"/>
        <w:textAlignment w:val="top"/>
        <w:rPr>
          <w:rFonts w:ascii="Arial" w:hAnsi="Arial" w:cs="Arial"/>
          <w:color w:val="676767"/>
          <w:szCs w:val="21"/>
        </w:rPr>
      </w:pPr>
      <w:r>
        <w:rPr>
          <w:rFonts w:cs="Arial" w:hint="eastAsia"/>
          <w:color w:val="676767"/>
          <w:sz w:val="28"/>
          <w:szCs w:val="28"/>
        </w:rPr>
        <w:t> </w:t>
      </w:r>
    </w:p>
    <w:p w14:paraId="6F25711C" w14:textId="77777777" w:rsidR="00362B1A" w:rsidRDefault="00362B1A" w:rsidP="00362B1A">
      <w:pPr>
        <w:shd w:val="clear" w:color="auto" w:fill="FFFFFF"/>
        <w:spacing w:line="460" w:lineRule="atLeast"/>
        <w:ind w:firstLine="562"/>
        <w:jc w:val="center"/>
        <w:textAlignment w:val="top"/>
        <w:rPr>
          <w:rFonts w:ascii="Arial" w:hAnsi="Arial" w:cs="Arial"/>
          <w:color w:val="676767"/>
          <w:szCs w:val="21"/>
        </w:rPr>
      </w:pPr>
      <w:r>
        <w:rPr>
          <w:rFonts w:cs="Arial" w:hint="eastAsia"/>
          <w:b/>
          <w:bCs/>
          <w:color w:val="676767"/>
          <w:sz w:val="28"/>
          <w:szCs w:val="28"/>
        </w:rPr>
        <w:t>第四章 工作底稿的编制和管理</w:t>
      </w:r>
    </w:p>
    <w:p w14:paraId="0A7131E4" w14:textId="77777777" w:rsidR="00362B1A" w:rsidRDefault="00362B1A" w:rsidP="00362B1A">
      <w:pPr>
        <w:shd w:val="clear" w:color="auto" w:fill="FFFFFF"/>
        <w:spacing w:line="460" w:lineRule="atLeast"/>
        <w:ind w:firstLine="560"/>
        <w:jc w:val="center"/>
        <w:textAlignment w:val="top"/>
        <w:rPr>
          <w:rFonts w:ascii="Arial" w:hAnsi="Arial" w:cs="Arial"/>
          <w:color w:val="676767"/>
          <w:szCs w:val="21"/>
        </w:rPr>
      </w:pPr>
      <w:r>
        <w:rPr>
          <w:rFonts w:cs="Arial" w:hint="eastAsia"/>
          <w:color w:val="676767"/>
          <w:sz w:val="28"/>
          <w:szCs w:val="28"/>
        </w:rPr>
        <w:t> </w:t>
      </w:r>
    </w:p>
    <w:p w14:paraId="3393AEE7"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第十二条  注册资产评估师在评估业务完成后，应当及时整理工作底稿并归档。</w:t>
      </w:r>
    </w:p>
    <w:p w14:paraId="43A99ACD"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第十三条  注册资产评估师收集委托方和相关当事方提供的与评估业务相关的资料作为工作底稿，应当由提供方在相关资料中签字、盖章或者以其他方式进行确认。</w:t>
      </w:r>
    </w:p>
    <w:p w14:paraId="5CA47DDE"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第十四条  工作底稿应当反映内部审核过程。审核人在审核工作底稿时，应当书面表示审核意见并签字。</w:t>
      </w:r>
    </w:p>
    <w:p w14:paraId="2D7D8DDC"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第十五条  注册资产评估师应当根据评估业务特点和工作底稿类别，编制工作底稿目录和索引号，反映工作底稿间的勾稽关系。</w:t>
      </w:r>
    </w:p>
    <w:p w14:paraId="44B7ED17"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第十六条  注册资产评估师应当在评估报告日后90日内，及时将</w:t>
      </w:r>
      <w:r>
        <w:rPr>
          <w:rFonts w:cs="Arial" w:hint="eastAsia"/>
          <w:color w:val="676767"/>
          <w:sz w:val="28"/>
          <w:szCs w:val="28"/>
        </w:rPr>
        <w:lastRenderedPageBreak/>
        <w:t>工作底稿与评估报告等一起归入评估业务档案，并由所在评估机构按照国家有关档案管理的法律、法规及本准则的规定妥善管理。</w:t>
      </w:r>
    </w:p>
    <w:p w14:paraId="5F0F5FB9"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第十七条  评估业务档案自评估报告日起至少保存10年。国家法律、法规另有规定的，依照其规定。</w:t>
      </w:r>
    </w:p>
    <w:p w14:paraId="6BD82A46"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第十八条  对于电子文档或者其他介质的评估业务档案，评估机构应当采取适当措施保证信息的完整性和有效性。</w:t>
      </w:r>
    </w:p>
    <w:p w14:paraId="5EDAB91D"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第十九条  评估机构不得在规定的保存期内对已完成归档的评估业务档案删改或者销毁。</w:t>
      </w:r>
    </w:p>
    <w:p w14:paraId="07FC66C7"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第二十条  工作底稿的管理应当执行保密制度。除下列情形外，工作底稿不得对外提供：</w:t>
      </w:r>
    </w:p>
    <w:p w14:paraId="78FFA094"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（一）司法部门按法定程序进行查询的；</w:t>
      </w:r>
    </w:p>
    <w:p w14:paraId="01C04821"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（二）依法有权审核评估业务的政府部门按规定程序对工作底稿进行查阅的；</w:t>
      </w:r>
    </w:p>
    <w:p w14:paraId="489BBEEE"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（三）资产评估行业协会按规定程序对执业质量进行检查的；</w:t>
      </w:r>
    </w:p>
    <w:p w14:paraId="19F878FF"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（四）其他依法可以查阅的情形。</w:t>
      </w:r>
    </w:p>
    <w:p w14:paraId="6C469285" w14:textId="77777777" w:rsidR="00362B1A" w:rsidRDefault="00362B1A" w:rsidP="00362B1A">
      <w:pPr>
        <w:shd w:val="clear" w:color="auto" w:fill="FFFFFF"/>
        <w:spacing w:line="460" w:lineRule="atLeast"/>
        <w:ind w:firstLine="560"/>
        <w:jc w:val="center"/>
        <w:textAlignment w:val="top"/>
        <w:rPr>
          <w:rFonts w:ascii="Arial" w:hAnsi="Arial" w:cs="Arial"/>
          <w:color w:val="676767"/>
          <w:szCs w:val="21"/>
        </w:rPr>
      </w:pPr>
      <w:r>
        <w:rPr>
          <w:rFonts w:cs="Arial" w:hint="eastAsia"/>
          <w:color w:val="676767"/>
          <w:sz w:val="28"/>
          <w:szCs w:val="28"/>
        </w:rPr>
        <w:t> </w:t>
      </w:r>
    </w:p>
    <w:p w14:paraId="6A6FE7E2" w14:textId="77777777" w:rsidR="00362B1A" w:rsidRDefault="00362B1A" w:rsidP="00362B1A">
      <w:pPr>
        <w:shd w:val="clear" w:color="auto" w:fill="FFFFFF"/>
        <w:spacing w:line="460" w:lineRule="atLeast"/>
        <w:ind w:firstLine="562"/>
        <w:jc w:val="center"/>
        <w:textAlignment w:val="top"/>
        <w:rPr>
          <w:rFonts w:ascii="Arial" w:hAnsi="Arial" w:cs="Arial"/>
          <w:color w:val="676767"/>
          <w:szCs w:val="21"/>
        </w:rPr>
      </w:pPr>
      <w:r>
        <w:rPr>
          <w:rFonts w:cs="Arial" w:hint="eastAsia"/>
          <w:b/>
          <w:bCs/>
          <w:color w:val="676767"/>
          <w:sz w:val="28"/>
          <w:szCs w:val="28"/>
        </w:rPr>
        <w:t>第五章  附  则</w:t>
      </w:r>
    </w:p>
    <w:p w14:paraId="621FB4C6" w14:textId="77777777" w:rsidR="00362B1A" w:rsidRDefault="00362B1A" w:rsidP="00362B1A">
      <w:pPr>
        <w:shd w:val="clear" w:color="auto" w:fill="FFFFFF"/>
        <w:spacing w:line="460" w:lineRule="atLeast"/>
        <w:ind w:firstLine="560"/>
        <w:jc w:val="center"/>
        <w:textAlignment w:val="top"/>
        <w:rPr>
          <w:rFonts w:ascii="Arial" w:hAnsi="Arial" w:cs="Arial"/>
          <w:color w:val="676767"/>
          <w:szCs w:val="21"/>
        </w:rPr>
      </w:pPr>
      <w:r>
        <w:rPr>
          <w:rFonts w:cs="Arial" w:hint="eastAsia"/>
          <w:color w:val="676767"/>
          <w:sz w:val="28"/>
          <w:szCs w:val="28"/>
        </w:rPr>
        <w:t> </w:t>
      </w:r>
    </w:p>
    <w:p w14:paraId="7566EA71" w14:textId="77777777" w:rsidR="00362B1A" w:rsidRDefault="00362B1A" w:rsidP="00362B1A">
      <w:pPr>
        <w:shd w:val="clear" w:color="auto" w:fill="FFFFFF"/>
        <w:spacing w:line="460" w:lineRule="atLeast"/>
        <w:ind w:firstLine="560"/>
        <w:textAlignment w:val="top"/>
        <w:rPr>
          <w:rFonts w:ascii="Arial" w:hAnsi="Arial" w:cs="Arial"/>
          <w:color w:val="676767"/>
          <w:szCs w:val="21"/>
        </w:rPr>
      </w:pPr>
      <w:r>
        <w:rPr>
          <w:rFonts w:cs="Arial" w:hint="eastAsia"/>
          <w:color w:val="676767"/>
          <w:sz w:val="28"/>
          <w:szCs w:val="28"/>
        </w:rPr>
        <w:t>第二十一条  本准则自2008年7月1日起施行。</w:t>
      </w:r>
    </w:p>
    <w:p w14:paraId="4C544B04" w14:textId="77777777" w:rsidR="00543CB0" w:rsidRPr="00362B1A" w:rsidRDefault="00362B1A" w:rsidP="00362B1A"/>
    <w:sectPr w:rsidR="00543CB0" w:rsidRPr="00362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362B1A"/>
    <w:rsid w:val="00625C2D"/>
    <w:rsid w:val="008D2F91"/>
    <w:rsid w:val="009760F5"/>
    <w:rsid w:val="00C07C35"/>
    <w:rsid w:val="00C14F20"/>
    <w:rsid w:val="00CD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 w:type="paragraph" w:styleId="a8">
    <w:name w:val="annotation text"/>
    <w:basedOn w:val="a"/>
    <w:link w:val="a9"/>
    <w:uiPriority w:val="99"/>
    <w:semiHidden/>
    <w:unhideWhenUsed/>
    <w:rsid w:val="00625C2D"/>
    <w:pPr>
      <w:widowControl/>
      <w:spacing w:before="100" w:beforeAutospacing="1" w:after="100" w:afterAutospacing="1"/>
      <w:jc w:val="left"/>
    </w:pPr>
    <w:rPr>
      <w:rFonts w:ascii="宋体" w:eastAsia="宋体" w:hAnsi="宋体" w:cs="宋体"/>
      <w:kern w:val="0"/>
      <w:sz w:val="24"/>
      <w:szCs w:val="24"/>
    </w:rPr>
  </w:style>
  <w:style w:type="character" w:customStyle="1" w:styleId="a9">
    <w:name w:val="批注文字 字符"/>
    <w:basedOn w:val="a0"/>
    <w:link w:val="a8"/>
    <w:uiPriority w:val="99"/>
    <w:semiHidden/>
    <w:rsid w:val="00625C2D"/>
    <w:rPr>
      <w:rFonts w:ascii="宋体" w:eastAsia="宋体" w:hAnsi="宋体" w:cs="宋体"/>
      <w:kern w:val="0"/>
      <w:sz w:val="24"/>
      <w:szCs w:val="24"/>
    </w:rPr>
  </w:style>
  <w:style w:type="paragraph" w:styleId="31">
    <w:name w:val="Body Text Indent 3"/>
    <w:basedOn w:val="a"/>
    <w:link w:val="32"/>
    <w:uiPriority w:val="99"/>
    <w:semiHidden/>
    <w:unhideWhenUsed/>
    <w:rsid w:val="00362B1A"/>
    <w:pPr>
      <w:spacing w:after="120"/>
      <w:ind w:leftChars="200" w:left="420"/>
    </w:pPr>
    <w:rPr>
      <w:sz w:val="16"/>
      <w:szCs w:val="16"/>
    </w:rPr>
  </w:style>
  <w:style w:type="character" w:customStyle="1" w:styleId="32">
    <w:name w:val="正文文本缩进 3 字符"/>
    <w:basedOn w:val="a0"/>
    <w:link w:val="31"/>
    <w:uiPriority w:val="99"/>
    <w:semiHidden/>
    <w:rsid w:val="00362B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61">
      <w:bodyDiv w:val="1"/>
      <w:marLeft w:val="0"/>
      <w:marRight w:val="0"/>
      <w:marTop w:val="0"/>
      <w:marBottom w:val="0"/>
      <w:divBdr>
        <w:top w:val="none" w:sz="0" w:space="0" w:color="auto"/>
        <w:left w:val="none" w:sz="0" w:space="0" w:color="auto"/>
        <w:bottom w:val="none" w:sz="0" w:space="0" w:color="auto"/>
        <w:right w:val="none" w:sz="0" w:space="0" w:color="auto"/>
      </w:divBdr>
    </w:div>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 w:id="1442719263">
      <w:bodyDiv w:val="1"/>
      <w:marLeft w:val="0"/>
      <w:marRight w:val="0"/>
      <w:marTop w:val="0"/>
      <w:marBottom w:val="0"/>
      <w:divBdr>
        <w:top w:val="none" w:sz="0" w:space="0" w:color="auto"/>
        <w:left w:val="none" w:sz="0" w:space="0" w:color="auto"/>
        <w:bottom w:val="none" w:sz="0" w:space="0" w:color="auto"/>
        <w:right w:val="none" w:sz="0" w:space="0" w:color="auto"/>
      </w:divBdr>
    </w:div>
    <w:div w:id="16487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10</cp:revision>
  <dcterms:created xsi:type="dcterms:W3CDTF">2022-02-25T06:26:00Z</dcterms:created>
  <dcterms:modified xsi:type="dcterms:W3CDTF">2022-02-25T09:03:00Z</dcterms:modified>
</cp:coreProperties>
</file>