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62D2" w14:textId="77777777" w:rsidR="008D2F91" w:rsidRPr="008D2F91" w:rsidRDefault="008D2F91" w:rsidP="008D2F91">
      <w:pPr>
        <w:widowControl/>
        <w:shd w:val="clear" w:color="auto" w:fill="FFFFFF"/>
        <w:spacing w:before="260" w:after="260"/>
        <w:jc w:val="center"/>
        <w:outlineLvl w:val="2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8D2F91">
        <w:rPr>
          <w:rFonts w:ascii="宋体" w:eastAsia="宋体" w:hAnsi="宋体" w:cs="Arial" w:hint="eastAsia"/>
          <w:color w:val="676767"/>
          <w:kern w:val="0"/>
          <w:sz w:val="28"/>
          <w:szCs w:val="28"/>
        </w:rPr>
        <w:t>中国资产评估协会关于印发《资产评估准则—评估报告》等</w:t>
      </w:r>
      <w:r w:rsidRPr="008D2F91">
        <w:rPr>
          <w:rFonts w:ascii="Times New Roman" w:eastAsia="宋体" w:hAnsi="Times New Roman" w:cs="Times New Roman"/>
          <w:color w:val="676767"/>
          <w:kern w:val="0"/>
          <w:sz w:val="28"/>
          <w:szCs w:val="28"/>
        </w:rPr>
        <w:t>7</w:t>
      </w:r>
      <w:r w:rsidRPr="008D2F91">
        <w:rPr>
          <w:rFonts w:ascii="宋体" w:eastAsia="宋体" w:hAnsi="宋体" w:cs="Arial" w:hint="eastAsia"/>
          <w:color w:val="676767"/>
          <w:kern w:val="0"/>
          <w:sz w:val="28"/>
          <w:szCs w:val="28"/>
        </w:rPr>
        <w:t>项资产评估准则的通知</w:t>
      </w:r>
    </w:p>
    <w:p w14:paraId="2562DF18" w14:textId="77777777" w:rsidR="008D2F91" w:rsidRPr="008D2F91" w:rsidRDefault="008D2F91" w:rsidP="008D2F91">
      <w:pPr>
        <w:widowControl/>
        <w:shd w:val="clear" w:color="auto" w:fill="FFFFFF"/>
        <w:spacing w:before="260" w:after="260"/>
        <w:jc w:val="center"/>
        <w:outlineLvl w:val="2"/>
        <w:rPr>
          <w:rFonts w:ascii="Arial" w:eastAsia="宋体" w:hAnsi="Arial" w:cs="Arial"/>
          <w:color w:val="676767"/>
          <w:kern w:val="0"/>
          <w:sz w:val="18"/>
          <w:szCs w:val="18"/>
        </w:rPr>
      </w:pPr>
      <w:proofErr w:type="gramStart"/>
      <w:r w:rsidRPr="008D2F91">
        <w:rPr>
          <w:rFonts w:ascii="宋体" w:eastAsia="宋体" w:hAnsi="宋体" w:cs="Arial" w:hint="eastAsia"/>
          <w:color w:val="676767"/>
          <w:kern w:val="0"/>
          <w:sz w:val="28"/>
          <w:szCs w:val="28"/>
        </w:rPr>
        <w:t>中评协</w:t>
      </w:r>
      <w:proofErr w:type="gramEnd"/>
      <w:r w:rsidRPr="008D2F91">
        <w:rPr>
          <w:rFonts w:ascii="Times New Roman" w:eastAsia="宋体" w:hAnsi="Times New Roman" w:cs="Times New Roman"/>
          <w:color w:val="676767"/>
          <w:kern w:val="0"/>
          <w:sz w:val="28"/>
          <w:szCs w:val="28"/>
        </w:rPr>
        <w:t>[2007]189</w:t>
      </w:r>
      <w:r w:rsidRPr="008D2F91">
        <w:rPr>
          <w:rFonts w:ascii="宋体" w:eastAsia="宋体" w:hAnsi="宋体" w:cs="Arial" w:hint="eastAsia"/>
          <w:color w:val="676767"/>
          <w:kern w:val="0"/>
          <w:sz w:val="28"/>
          <w:szCs w:val="28"/>
        </w:rPr>
        <w:t>号</w:t>
      </w:r>
    </w:p>
    <w:p w14:paraId="5D155629" w14:textId="77777777" w:rsidR="008D2F91" w:rsidRPr="008D2F91" w:rsidRDefault="008D2F91" w:rsidP="008D2F91">
      <w:pPr>
        <w:widowControl/>
        <w:shd w:val="clear" w:color="auto" w:fill="FFFFFF"/>
        <w:spacing w:line="315" w:lineRule="atLeast"/>
        <w:jc w:val="left"/>
        <w:textAlignment w:val="top"/>
        <w:rPr>
          <w:rFonts w:ascii="Arial" w:eastAsia="宋体" w:hAnsi="Arial" w:cs="Arial"/>
          <w:color w:val="676767"/>
          <w:kern w:val="0"/>
          <w:szCs w:val="21"/>
        </w:rPr>
      </w:pP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各省、自治区、直辖市、计划单列市资产评估协会（注册会计师协会）：</w:t>
      </w:r>
      <w:r w:rsidRPr="008D2F91">
        <w:rPr>
          <w:rFonts w:ascii="宋体" w:eastAsia="宋体" w:hAnsi="宋体" w:cs="Arial" w:hint="eastAsia"/>
          <w:color w:val="676767"/>
          <w:kern w:val="0"/>
          <w:szCs w:val="21"/>
        </w:rPr>
        <w:br/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   为规范注册资产评估</w:t>
      </w:r>
      <w:proofErr w:type="gramStart"/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师执行</w:t>
      </w:r>
      <w:proofErr w:type="gramEnd"/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资产评估业务，维护社会公共利益和资产评估各方当事人合法权益，根据《资产评估准则––基本准则》，中国资产评估协会制定了《资产评估准则––评估报告》、《资产评估准则––评估程序》、《资产评估准则––业务约定书》、《资产评估准则––工作底稿》、《资产评估准则––机器设备》、《资产评估准则––不动产》和《资产评估价值类型指导意见》等7项资产评估准则，现予以发布，自2008年7月1日起施行。</w:t>
      </w:r>
      <w:r w:rsidRPr="008D2F91">
        <w:rPr>
          <w:rFonts w:ascii="宋体" w:eastAsia="宋体" w:hAnsi="宋体" w:cs="Arial" w:hint="eastAsia"/>
          <w:color w:val="676767"/>
          <w:kern w:val="0"/>
          <w:szCs w:val="21"/>
        </w:rPr>
        <w:br/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   请各协会将上述资产评估准则转发评估机构，组织评估机构和注册资产评估师进行学习和培训，并将执行过程中发现的问题及时上报中国资产评估协会。</w:t>
      </w:r>
      <w:r w:rsidRPr="008D2F91">
        <w:rPr>
          <w:rFonts w:ascii="宋体" w:eastAsia="宋体" w:hAnsi="宋体" w:cs="Arial" w:hint="eastAsia"/>
          <w:color w:val="676767"/>
          <w:kern w:val="0"/>
          <w:szCs w:val="21"/>
        </w:rPr>
        <w:br/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   2008年7月1日起，中国资产评估协会1999年发布的《资产评估业务约定书指南》、《资产评估计划指南》、《资产评估工作底稿指南》和《资产评估档案管理指南》（评协字[1999]53号）同时废止。</w:t>
      </w:r>
      <w:r w:rsidRPr="008D2F91">
        <w:rPr>
          <w:rFonts w:ascii="宋体" w:eastAsia="宋体" w:hAnsi="宋体" w:cs="Arial" w:hint="eastAsia"/>
          <w:color w:val="676767"/>
          <w:kern w:val="0"/>
          <w:szCs w:val="21"/>
        </w:rPr>
        <w:br/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   附件：1. </w:t>
      </w:r>
      <w:hyperlink r:id="rId4" w:tooltip="资产评估准则––评估报告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资产评估准则––评估报告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2. </w:t>
      </w:r>
      <w:hyperlink r:id="rId5" w:tooltip="资产评估准则––评估程序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资产评估准则––评估程序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3. </w:t>
      </w:r>
      <w:hyperlink r:id="rId6" w:tooltip="资产评估准则––业务约定书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资产评估准则––业务约定书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4. </w:t>
      </w:r>
      <w:hyperlink r:id="rId7" w:tooltip="资产评估准则––业务约定书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资产评估准则––工作底稿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5. </w:t>
      </w:r>
      <w:hyperlink r:id="rId8" w:tooltip="资产评估准则––机器设备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资产评估准则––机器设备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6. </w:t>
      </w:r>
      <w:hyperlink r:id="rId9" w:tooltip="资产评估准则––不动产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资产评估准则––不动产</w:t>
        </w:r>
      </w:hyperlink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t> </w:t>
      </w:r>
      <w:r w:rsidRPr="008D2F91">
        <w:rPr>
          <w:rFonts w:ascii="宋体" w:eastAsia="宋体" w:hAnsi="宋体" w:cs="Arial" w:hint="eastAsia"/>
          <w:color w:val="676767"/>
          <w:kern w:val="0"/>
          <w:sz w:val="24"/>
          <w:szCs w:val="24"/>
        </w:rPr>
        <w:br/>
        <w:t>          7. </w:t>
      </w:r>
      <w:hyperlink r:id="rId10" w:tooltip="资产评估价值类型指导意见" w:history="1">
        <w:r w:rsidRPr="008D2F91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资产评估价值类型指导意见</w:t>
        </w:r>
      </w:hyperlink>
    </w:p>
    <w:p w14:paraId="4C544B04" w14:textId="77777777" w:rsidR="00543CB0" w:rsidRDefault="008D2F91"/>
    <w:sectPr w:rsidR="0054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F"/>
    <w:rsid w:val="008D2F91"/>
    <w:rsid w:val="009760F5"/>
    <w:rsid w:val="00C07C35"/>
    <w:rsid w:val="00C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A56E-FE11-4568-ACAA-195291E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D2F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D2F9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D2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icpa.org.cn/standards/UploadFiles_5691/200712/2007121716432327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qicpa.org.cn/standards/UploadFiles_5691/200712/20071217164206461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icpa.org.cn/standards/UploadFiles_5691/200712/2007121716415675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qicpa.org.cn/standards/UploadFiles_5691/200712/20071217164144847.doc" TargetMode="External"/><Relationship Id="rId10" Type="http://schemas.openxmlformats.org/officeDocument/2006/relationships/hyperlink" Target="http://www.cqicpa.org.cn/standards/UploadFiles_5691/200712/20071217164350620.doc" TargetMode="External"/><Relationship Id="rId4" Type="http://schemas.openxmlformats.org/officeDocument/2006/relationships/hyperlink" Target="http://www.cqicpa.org.cn/standards/UploadFiles_5691/200712/20071217164128619.doc" TargetMode="External"/><Relationship Id="rId9" Type="http://schemas.openxmlformats.org/officeDocument/2006/relationships/hyperlink" Target="http://www.cqicpa.org.cn/standards/UploadFiles_5691/200712/2007121716433635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kongfanyu18@163.com</dc:creator>
  <cp:keywords/>
  <dc:description/>
  <cp:lastModifiedBy>kongfanyu18@163.com</cp:lastModifiedBy>
  <cp:revision>3</cp:revision>
  <dcterms:created xsi:type="dcterms:W3CDTF">2022-02-25T06:26:00Z</dcterms:created>
  <dcterms:modified xsi:type="dcterms:W3CDTF">2022-02-25T06:26:00Z</dcterms:modified>
</cp:coreProperties>
</file>